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 w:val="0"/>
        <w:shd w:val="clear" w:color="auto" w:fill="auto"/>
        <w:bidi w:val="0"/>
        <w:spacing w:before="3280" w:after="420" w:line="264" w:lineRule="auto"/>
        <w:ind w:left="0" w:right="140" w:firstLine="0"/>
        <w:jc w:val="right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tr-TR" w:eastAsia="tr-TR" w:bidi="tr-TR"/>
        </w:rPr>
        <w:t xml:space="preserve">Al Sindaco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del Comune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tr-TR" w:eastAsia="tr-TR" w:bidi="tr-TR"/>
        </w:rPr>
        <w:t xml:space="preserve">di Cerveteri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Dott. Elena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tr-TR" w:eastAsia="tr-TR" w:bidi="tr-TR"/>
        </w:rPr>
        <w:t>Gubetti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300" w:line="264" w:lineRule="auto"/>
        <w:ind w:left="0" w:right="140" w:firstLine="0"/>
        <w:jc w:val="right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tr-TR" w:eastAsia="tr-TR" w:bidi="tr-TR"/>
        </w:rPr>
        <w:t xml:space="preserve">Al Segretario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Comunale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tr-TR" w:eastAsia="tr-TR" w:bidi="tr-TR"/>
        </w:rPr>
        <w:t xml:space="preserve">Dott.sa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Daniela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tr-TR" w:eastAsia="tr-TR" w:bidi="tr-TR"/>
        </w:rPr>
        <w:t>Ventriglia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20" w:line="264" w:lineRule="auto"/>
        <w:ind w:left="0" w:right="140" w:firstLine="0"/>
        <w:jc w:val="right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tr-TR" w:eastAsia="tr-TR" w:bidi="tr-TR"/>
        </w:rPr>
        <w:t xml:space="preserve">Al Presidente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del Consiglio Cons. Carmelo Travaglia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840" w:line="264" w:lineRule="auto"/>
        <w:ind w:left="0" w:right="140" w:firstLine="0"/>
        <w:jc w:val="right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Comune di Cerveteri - sede</w:t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 w:after="220" w:line="264" w:lineRule="auto"/>
        <w:ind w:left="0" w:right="0" w:firstLine="420"/>
        <w:jc w:val="left"/>
      </w:pPr>
      <w:bookmarkStart w:id="0" w:name="bookmark1"/>
      <w:bookmarkStart w:id="1" w:name="bookmark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Quadro normativo di riferimento:</w:t>
      </w:r>
      <w:bookmarkEnd w:id="0"/>
      <w:bookmarkEnd w:id="1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left"/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Regolamento di esecuzione e di attuazione del nuovo codice della strada - Decreto del Presidente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della Repubblica 16 dicembre 1992, n. 495 (in Suppl. ord. alla Gazz. Uff., 28 dicembre 1992, n.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303) e successive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modificazioni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;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Art. 172. - Generalità e suddivisioni (art. 42 C.s.)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>;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Art. 173. - Delineatori normali di margine (art. 42 C.s.)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>;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>A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rt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>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 11 del D.P.R. 633/1972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>;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</w:pPr>
      <w:r>
        <w:rPr>
          <w:rFonts w:hint="default"/>
        </w:rPr>
        <w:t>Art. 3 del Nuovo Codice della Strada D.Lgs. 30/04/1992,n.285</w:t>
      </w:r>
      <w:r>
        <w:rPr>
          <w:rFonts w:hint="default"/>
          <w:lang w:val="it-IT"/>
        </w:rPr>
        <w:t>;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420"/>
        <w:jc w:val="left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Articolo 119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 xml:space="preserve"> del TUEL, 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Contratti di sponsorizzazione, accordi di collaborazione e convenzioni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>, i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n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applicazione dell'articolo 43 della legge 27 dicembre 1997, n. 449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>;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Decreto Legislativo 18 agosto 2000 n.267 art. 201 (TUEL);</w:t>
      </w:r>
    </w:p>
    <w:p>
      <w:pPr>
        <w:pStyle w:val="16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INTERROGAZIONE CON RISPOSTA SCRITTA</w:t>
      </w:r>
      <w:bookmarkEnd w:id="2"/>
      <w:bookmarkEnd w:id="3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300" w:line="206" w:lineRule="auto"/>
        <w:ind w:left="0" w:right="0" w:firstLine="0"/>
        <w:jc w:val="left"/>
        <w:rPr>
          <w:rFonts w:hint="default"/>
          <w:sz w:val="22"/>
          <w:szCs w:val="22"/>
          <w:lang w:val="it-IT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en-US" w:bidi="en-US"/>
        </w:rPr>
        <w:t xml:space="preserve">Oggetto: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Emergenza </w:t>
      </w:r>
      <w:r>
        <w:rPr>
          <w:rFonts w:hint="default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>sicurezza stradale nel territorio cerite.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680" w:line="264" w:lineRule="auto"/>
        <w:ind w:left="0" w:right="0" w:firstLine="0"/>
        <w:jc w:val="left"/>
        <w:rPr>
          <w:rFonts w:hint="default"/>
          <w:sz w:val="22"/>
          <w:szCs w:val="22"/>
          <w:lang w:val="it-IT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Il Sottoscritto </w:t>
      </w:r>
      <w:r>
        <w:rPr>
          <w:rFonts w:hint="default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>Lamberto Ramazzotti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 nella qualita di consigliere comunale</w:t>
      </w:r>
      <w:r>
        <w:rPr>
          <w:rFonts w:hint="default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 xml:space="preserve"> e in delega </w:t>
      </w:r>
      <w:bookmarkStart w:id="18" w:name="_GoBack"/>
      <w:bookmarkEnd w:id="18"/>
      <w:r>
        <w:rPr>
          <w:rFonts w:hint="default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>della sezione cerite del partito Lega salvini Premier,</w:t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 w:after="320"/>
        <w:ind w:left="0" w:right="0" w:firstLine="160"/>
        <w:jc w:val="both"/>
      </w:pPr>
      <w:bookmarkStart w:id="4" w:name="bookmark6"/>
      <w:bookmarkStart w:id="5" w:name="bookmark7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APPRESO</w:t>
      </w:r>
      <w:bookmarkEnd w:id="4"/>
      <w:bookmarkEnd w:id="5"/>
    </w:p>
    <w:p>
      <w:pPr>
        <w:pStyle w:val="12"/>
        <w:keepNext/>
        <w:keepLines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  <w:rPr>
          <w:rFonts w:hint="default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it-IT" w:eastAsia="en-US" w:bidi="en-US"/>
        </w:rPr>
      </w:pPr>
      <w:bookmarkStart w:id="6" w:name="bookmark9"/>
      <w:bookmarkStart w:id="7" w:name="bookmark8"/>
      <w:r>
        <w:rPr>
          <w:rFonts w:hint="default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it-IT" w:eastAsia="en-US" w:bidi="en-US"/>
        </w:rPr>
        <w:t>La decisone non esplicata del respingimento delle mozioni presentate dallo Scrivente, sui sovrappassi e i delineatori di corsia,</w:t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  <w:rPr>
          <w:rFonts w:hint="default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it-IT" w:eastAsia="en-US" w:bidi="en-US"/>
        </w:rPr>
      </w:pPr>
    </w:p>
    <w:p>
      <w:pPr>
        <w:pStyle w:val="12"/>
        <w:keepNext/>
        <w:keepLines/>
        <w:widowControl w:val="0"/>
        <w:shd w:val="clear" w:color="auto" w:fill="auto"/>
        <w:bidi w:val="0"/>
        <w:spacing w:before="0" w:after="0" w:line="254" w:lineRule="auto"/>
        <w:ind w:left="0" w:right="0" w:firstLine="0"/>
        <w:jc w:val="both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ANNOTATO</w:t>
      </w:r>
      <w:bookmarkEnd w:id="6"/>
      <w:bookmarkEnd w:id="7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260" w:line="233" w:lineRule="auto"/>
        <w:ind w:left="0" w:right="0" w:firstLine="0"/>
        <w:jc w:val="both"/>
      </w:pPr>
      <w:r>
        <w:rPr>
          <w:rFonts w:hint="default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it-IT" w:eastAsia="en-US" w:bidi="en-US"/>
        </w:rPr>
        <w:t>Che da più di un anno, per i sovrappassi era stata approvata una mozione per la realizzazione degli stessi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;</w:t>
      </w:r>
    </w:p>
    <w:p>
      <w:pPr>
        <w:pStyle w:val="12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260" w:line="240" w:lineRule="auto"/>
        <w:ind w:left="0" w:right="0" w:firstLine="0" w:firstLineChars="0"/>
        <w:jc w:val="left"/>
        <w:textAlignment w:val="auto"/>
      </w:pPr>
      <w:bookmarkStart w:id="8" w:name="bookmark11"/>
      <w:bookmarkStart w:id="9" w:name="bookmark1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EVIDENZIATO</w:t>
      </w:r>
      <w:bookmarkEnd w:id="8"/>
      <w:bookmarkEnd w:id="9"/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40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440" w:line="240" w:lineRule="auto"/>
        <w:ind w:leftChars="0" w:right="0" w:rightChars="0" w:firstLine="0" w:firstLineChars="0"/>
        <w:jc w:val="left"/>
        <w:textAlignment w:val="auto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che in data odie</w:t>
      </w:r>
      <w:r>
        <w:rPr>
          <w:rFonts w:hint="default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it-IT" w:eastAsia="en-US" w:bidi="en-US"/>
        </w:rPr>
        <w:t>rn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a, </w:t>
      </w:r>
      <w:r>
        <w:rPr>
          <w:rFonts w:hint="default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it-IT" w:eastAsia="en-US" w:bidi="en-US"/>
        </w:rPr>
        <w:t>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possibile constatare la situazione </w:t>
      </w:r>
      <w:r>
        <w:rPr>
          <w:rFonts w:hint="default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it-IT" w:eastAsia="en-US" w:bidi="en-US"/>
        </w:rPr>
        <w:t>della viabilità stradale sul territorio cerite  che ne vede l’aumento di incidenti stradali purtroppo anche mortali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;</w:t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 w:after="260"/>
        <w:ind w:left="0" w:right="0" w:firstLine="0"/>
        <w:jc w:val="both"/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</w:pPr>
      <w:bookmarkStart w:id="10" w:name="bookmark13"/>
      <w:bookmarkStart w:id="11" w:name="bookmark12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PRESO ATTO</w:t>
      </w:r>
      <w:bookmarkEnd w:id="10"/>
      <w:bookmarkEnd w:id="11"/>
      <w:r>
        <w:rPr>
          <w:rFonts w:hint="default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CHE</w:t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 w:after="260"/>
        <w:ind w:left="0" w:right="0" w:firstLine="0"/>
        <w:jc w:val="both"/>
        <w:rPr>
          <w:rFonts w:hint="default"/>
          <w:lang w:val="it-IT"/>
        </w:rPr>
      </w:pPr>
      <w:r>
        <w:rPr>
          <w:rFonts w:hint="default"/>
          <w:lang w:val="it-IT"/>
        </w:rPr>
        <w:t>Sono anni che la maggioranza della continuità dice di stare provvedendo per realizzare la rotatoria all’ingresso dell’autostrada A12.</w:t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bookmarkStart w:id="12" w:name="bookmark14"/>
      <w:bookmarkStart w:id="13" w:name="bookmark15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TENUTO CONTO</w:t>
      </w:r>
      <w:bookmarkEnd w:id="12"/>
      <w:bookmarkEnd w:id="13"/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Fonts w:hint="default"/>
          <w:lang w:val="it-IT"/>
        </w:rPr>
        <w:t xml:space="preserve">I </w:t>
      </w:r>
      <w:r>
        <w:rPr>
          <w:rFonts w:hint="default"/>
        </w:rPr>
        <w:t xml:space="preserve">cittadini, </w:t>
      </w:r>
      <w:r>
        <w:rPr>
          <w:rFonts w:hint="default"/>
          <w:lang w:val="it-IT"/>
        </w:rPr>
        <w:t xml:space="preserve">sono tutti uguali, tutti sono </w:t>
      </w:r>
      <w:r>
        <w:rPr>
          <w:rFonts w:hint="default"/>
        </w:rPr>
        <w:t xml:space="preserve">utenti della strada, </w:t>
      </w:r>
      <w:r>
        <w:rPr>
          <w:rFonts w:hint="default"/>
          <w:lang w:val="it-IT"/>
        </w:rPr>
        <w:t xml:space="preserve">che in </w:t>
      </w:r>
      <w:r>
        <w:rPr>
          <w:rFonts w:hint="default"/>
        </w:rPr>
        <w:t xml:space="preserve">zone dove i residenti attraversano </w:t>
      </w:r>
      <w:r>
        <w:rPr>
          <w:rFonts w:hint="default"/>
          <w:lang w:val="it-IT"/>
        </w:rPr>
        <w:t xml:space="preserve">con le loro auto o </w:t>
      </w:r>
      <w:r>
        <w:rPr>
          <w:rFonts w:hint="default"/>
          <w:lang w:val="it-IT"/>
        </w:rPr>
        <w:tab/>
      </w:r>
      <w:r>
        <w:rPr>
          <w:rFonts w:hint="default"/>
          <w:lang w:val="it-IT"/>
        </w:rPr>
        <w:t xml:space="preserve">mezzi commerciali. </w:t>
      </w:r>
      <w:r>
        <w:rPr>
          <w:rFonts w:hint="default"/>
        </w:rPr>
        <w:t>la carreggiata piu' volte rischiando la vita a causa delle inesistenti strutture di arredo urbano</w:t>
      </w:r>
      <w:r>
        <w:rPr>
          <w:rFonts w:hint="default"/>
          <w:lang w:val="it-IT"/>
        </w:rPr>
        <w:t xml:space="preserve"> e ci</w:t>
      </w:r>
      <w:r>
        <w:rPr>
          <w:rFonts w:hint="default"/>
        </w:rPr>
        <w:t xml:space="preserve"> </w:t>
      </w:r>
      <w:r>
        <w:rPr>
          <w:rFonts w:hint="default"/>
          <w:lang w:val="it-IT"/>
        </w:rPr>
        <w:tab/>
      </w:r>
      <w:r>
        <w:rPr>
          <w:rFonts w:hint="default"/>
        </w:rPr>
        <w:t>fanno notare che,</w:t>
      </w:r>
      <w:r>
        <w:rPr>
          <w:rFonts w:hint="default"/>
          <w:lang w:val="it-IT"/>
        </w:rPr>
        <w:t xml:space="preserve"> </w:t>
      </w:r>
      <w:r>
        <w:rPr>
          <w:rFonts w:hint="default"/>
        </w:rPr>
        <w:t xml:space="preserve">le soluzioni per dissuadere gli automobilisti indisciplinati non sono di certo gli autovelox o similari, </w:t>
      </w:r>
      <w:r>
        <w:rPr>
          <w:rFonts w:hint="default"/>
          <w:lang w:val="it-IT"/>
        </w:rPr>
        <w:tab/>
      </w:r>
      <w:r>
        <w:rPr>
          <w:rFonts w:hint="default"/>
        </w:rPr>
        <w:t>ma sono “i</w:t>
      </w:r>
      <w:r>
        <w:rPr>
          <w:rFonts w:hint="default"/>
          <w:lang w:val="it-IT"/>
        </w:rPr>
        <w:t xml:space="preserve"> delineatori di corsia</w:t>
      </w:r>
      <w:r>
        <w:rPr>
          <w:rFonts w:hint="default"/>
        </w:rPr>
        <w:t>”</w:t>
      </w:r>
      <w:r>
        <w:rPr>
          <w:rFonts w:hint="default"/>
          <w:lang w:val="it-IT"/>
        </w:rPr>
        <w:t xml:space="preserve"> più immediati da realizzare rispetto ad una rotatoria e i “sovrappassi”,  come quelli utilizzati nella </w:t>
      </w:r>
      <w:r>
        <w:rPr>
          <w:rFonts w:hint="default"/>
          <w:lang w:val="it-IT"/>
        </w:rPr>
        <w:tab/>
      </w:r>
      <w:r>
        <w:rPr>
          <w:rFonts w:hint="default"/>
          <w:lang w:val="it-IT"/>
        </w:rPr>
        <w:t xml:space="preserve">viciniora Ladispoli in quanto vere ed uniche barriere fisiche che costringono in un unico senso di marcia, se si vuole </w:t>
      </w:r>
      <w:r>
        <w:rPr>
          <w:rFonts w:hint="default"/>
          <w:lang w:val="it-IT"/>
        </w:rPr>
        <w:tab/>
      </w:r>
      <w:r>
        <w:rPr>
          <w:rFonts w:hint="default"/>
          <w:lang w:val="it-IT"/>
        </w:rPr>
        <w:t>evitare danni al veicolo e soprattutto salvaguardare la vita umana</w:t>
      </w:r>
      <w:r>
        <w:t>;</w:t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 w:after="280" w:line="276" w:lineRule="auto"/>
        <w:ind w:left="0" w:right="0" w:firstLine="0"/>
        <w:jc w:val="both"/>
      </w:pPr>
      <w:bookmarkStart w:id="14" w:name="bookmark17"/>
      <w:bookmarkStart w:id="15" w:name="bookmark16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CONSIDERATO</w:t>
      </w:r>
      <w:bookmarkEnd w:id="14"/>
      <w:bookmarkEnd w:id="15"/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bookmarkStart w:id="16" w:name="bookmark19"/>
      <w:bookmarkStart w:id="17" w:name="bookmark18"/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Regolamento di esecuzione e di attuazione del nuovo codice della strada - Decreto del Presidente della Repubblica 16 dicembre 1992, n. 495 (in Suppl. ord. alla Gazz. Uff., 28 dicembre 1992, n. 303) e successive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modificazioni.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b/>
        </w:rPr>
        <w:t>Che</w:t>
      </w:r>
      <w:r>
        <w:rPr>
          <w:rFonts w:hint="default"/>
          <w:b/>
          <w:lang w:val="it-IT"/>
        </w:rPr>
        <w:t xml:space="preserve"> l’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Art. 172. - Generalità e suddivisioni (art. 42 C.s.)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 xml:space="preserve"> riporta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>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1. Ai sensi dell'articolo 42, comma 1, del codice, sono segnali complementari i dispositivi e mezzi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segnaletici atti a fornire ai conducenti le informazioni utili alla determinazione della traiettoria di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marcia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nelle varie situazioni stradali ed alla percezione di ostacoli posti in prossimità o entro la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carreggiata, nonché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quelli atti a rafforzare l'efficacia dei normali segni sulla carreggiata.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2. I segnali complementari si suddividono in: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a) delineatori normali di margine;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b) delineatori speciali;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c) mezzi e dispositivi per segnalare gli ostacoli;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d) isole di traffico.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Regolamento di esecuzione e di attuazione del nuovo codice della strada - Decreto del Presidente della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Repubblica 16 dicembre 1992, n. 495 (in Suppl. ord. alla Gazz. Uff., 28 dicembre 1992, n. 303) e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successive modificazioni.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</w:pPr>
      <w:r>
        <w:rPr>
          <w:b/>
        </w:rPr>
        <w:t>Che</w:t>
      </w:r>
      <w:r>
        <w:rPr>
          <w:rFonts w:hint="default"/>
          <w:b/>
          <w:lang w:val="it-IT"/>
        </w:rPr>
        <w:t xml:space="preserve"> </w:t>
      </w:r>
      <w:r>
        <w:rPr>
          <w:rFonts w:hint="default"/>
          <w:b/>
          <w:sz w:val="24"/>
          <w:szCs w:val="24"/>
          <w:lang w:val="it-IT"/>
        </w:rPr>
        <w:t>l’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Art. 173. - Delineatori normali di margine (art. 42 C.s.).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1. I delineatori normali di margine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 xml:space="preserve">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devono essere installati lungo quei tronchi stradali, fuori dei centri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abitati,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nei quali la velocità locale predominante, l'andamento planoaltimetrico o le condizioni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 xml:space="preserve">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climatiche locali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rendono necessario visualizzare a distanza l'andamento dell'asse stradale.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2. Su tratti di strada omogenei l'installazione dei delineatori deve essere continuativa, evitando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installazioni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saltuarie e usando lo stesso tipo di delineatore.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br w:type="textWrapping"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3. I delineatori devono essere spaziati di una distanza costante in rettilineo, al massimo 50 m, ed infittiti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in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curva con criterio differenziale in relazione al raggio di curvatura. Gli intervalli di posa devono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comunque 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essere il più possibile uniformi sullo stesso tratto di strada, in modo da costituire una </w:t>
      </w:r>
      <w:r>
        <w:rPr>
          <w:rFonts w:hint="default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guida ottica omogenea.</w:t>
      </w:r>
    </w:p>
    <w:p>
      <w:pPr>
        <w:pStyle w:val="6"/>
        <w:keepNext w:val="0"/>
        <w:keepLines w:val="0"/>
        <w:widowControl/>
        <w:suppressLineNumbers w:val="0"/>
        <w:ind w:lef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b/>
        </w:rPr>
        <w:t>Che</w:t>
      </w:r>
      <w:r>
        <w:rPr>
          <w:rFonts w:hint="default"/>
          <w:b/>
          <w:lang w:val="it-IT"/>
        </w:rPr>
        <w:t xml:space="preserve"> </w:t>
      </w:r>
      <w:r>
        <w:rPr>
          <w:rFonts w:hint="default"/>
          <w:b/>
          <w:sz w:val="24"/>
          <w:szCs w:val="24"/>
          <w:lang w:val="it-IT"/>
        </w:rPr>
        <w:t>l’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Articolo 201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 xml:space="preserve">del TUEL, 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Finanziamento di opere pubbliche e piano economico-finanziario</w:t>
      </w:r>
    </w:p>
    <w:p>
      <w:pPr>
        <w:pStyle w:val="6"/>
        <w:keepNext w:val="0"/>
        <w:keepLines w:val="0"/>
        <w:widowControl/>
        <w:suppressLineNumbers w:val="0"/>
        <w:ind w:left="0" w:firstLine="720" w:firstLineChars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1. Gli enti locali e le aziende speciali sono autorizzate ad assumere mutui, anche se assistiti da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contributi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dello Stato o delle regioni, per il finanziamento di opere pubbliche destinate all'esercizio di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servizi pubblici,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soltanto se i contratti di appalto sono realizzati sulla base di progetti "chiavi in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mano" ed a prezzo non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modificabile in aumento, con procedura di evidenza pubblica e con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esclusione della trattativa privata.</w:t>
      </w:r>
    </w:p>
    <w:p>
      <w:pPr>
        <w:pStyle w:val="6"/>
        <w:keepNext w:val="0"/>
        <w:keepLines w:val="0"/>
        <w:widowControl/>
        <w:suppressLineNumbers w:val="0"/>
        <w:ind w:left="0" w:firstLine="720" w:firstLineChars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2. Per le nuove opere di cui al comma 1 il cui progetto generale comporti una spesa superiore al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miliardo di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lire, gli enti di cui al comma 1 approvano un piano economico-finanziario diretto ad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accertare l'equilibrio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economico-finanziario dell'investimento e della connessa gestione, anche in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relazione agli introiti previsti ed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al fine della determinazione delle tariffe.</w:t>
      </w:r>
    </w:p>
    <w:p>
      <w:pPr>
        <w:pStyle w:val="6"/>
        <w:keepNext w:val="0"/>
        <w:keepLines w:val="0"/>
        <w:widowControl/>
        <w:suppressLineNumbers w:val="0"/>
        <w:ind w:left="0" w:firstLine="720" w:firstLineChars="0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3. Il piano economico-finanziario deve essere preventivamente assentito da una banca scelta tra gli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istituti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indicati con decreto emanato dal Ministro del tesoro, del bilancio e della programmazione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economica.</w:t>
      </w:r>
    </w:p>
    <w:p>
      <w:pPr>
        <w:pStyle w:val="6"/>
        <w:keepNext w:val="0"/>
        <w:keepLines w:val="0"/>
        <w:widowControl/>
        <w:suppressLineNumbers w:val="0"/>
        <w:ind w:left="0" w:firstLine="720" w:firstLineChars="0"/>
        <w:rPr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4. Le tariffe dei servizi pubblici di cui al comma 1 sono determinati in base ai seguenti criteri: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a) la corrispondenza tra costi e ricavi in modo da assicurare la integrale copertura dei costi, ivi compresi </w:t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gli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oneri di ammortamento tecnico-finanziario;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b) l'equilibrato rapporto tra i finanziamenti raccolti ed il capitale investito;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 xml:space="preserve">c) l'entita' dei costi di gestione delle opere, tenendo conto anche degli investimenti e della qualita' del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lang w:val="it-IT"/>
        </w:rPr>
        <w:tab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</w:rPr>
        <w:t>servizio</w:t>
      </w:r>
      <w:r>
        <w:rPr>
          <w:sz w:val="24"/>
          <w:szCs w:val="24"/>
        </w:rPr>
        <w:t>;</w:t>
      </w:r>
    </w:p>
    <w:p>
      <w:pPr>
        <w:pStyle w:val="4"/>
        <w:spacing w:before="9"/>
        <w:rPr>
          <w:rStyle w:val="5"/>
          <w:rFonts w:hint="default" w:eastAsia="sans-serif" w:cs="Times New Roman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</w:pPr>
      <w:r>
        <w:rPr>
          <w:b/>
        </w:rPr>
        <w:t>Che</w:t>
      </w:r>
      <w:r>
        <w:rPr>
          <w:rFonts w:hint="default"/>
          <w:b/>
          <w:color w:val="000000"/>
          <w:lang w:val="it-IT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L’articolo 11 del D.P.R. 633/1972 stabilisce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 xml:space="preserve">e prevede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infatti che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 xml:space="preserve"> si puo’ ottenere: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 </w:t>
      </w:r>
      <w:r>
        <w:rPr>
          <w:rStyle w:val="5"/>
          <w:rFonts w:hint="default" w:ascii="Times New Roman" w:hAnsi="Times New Roman" w:eastAsia="sans-serif" w:cs="Times New Roman"/>
          <w:caps w:val="0"/>
          <w:color w:val="000000"/>
          <w:spacing w:val="0"/>
          <w:sz w:val="24"/>
          <w:szCs w:val="24"/>
          <w:shd w:val="clear" w:color="auto" w:fill="FFFFFF"/>
        </w:rPr>
        <w:t xml:space="preserve">“Le cessioni di beni </w:t>
      </w:r>
      <w:r>
        <w:rPr>
          <w:rStyle w:val="5"/>
          <w:rFonts w:hint="default" w:eastAsia="sans-serif" w:cs="Times New Roman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Style w:val="5"/>
          <w:rFonts w:hint="default" w:ascii="Times New Roman" w:hAnsi="Times New Roman" w:eastAsia="sans-serif" w:cs="Times New Roman"/>
          <w:caps w:val="0"/>
          <w:color w:val="000000"/>
          <w:spacing w:val="0"/>
          <w:sz w:val="24"/>
          <w:szCs w:val="24"/>
          <w:shd w:val="clear" w:color="auto" w:fill="FFFFFF"/>
        </w:rPr>
        <w:t xml:space="preserve">e le </w:t>
      </w:r>
      <w:r>
        <w:rPr>
          <w:rStyle w:val="5"/>
          <w:rFonts w:hint="default" w:eastAsia="sans-serif" w:cs="Times New Roman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ab/>
      </w:r>
      <w:r>
        <w:rPr>
          <w:rStyle w:val="5"/>
          <w:rFonts w:hint="default" w:ascii="Times New Roman" w:hAnsi="Times New Roman" w:eastAsia="sans-serif" w:cs="Times New Roman"/>
          <w:caps w:val="0"/>
          <w:color w:val="000000"/>
          <w:spacing w:val="0"/>
          <w:sz w:val="24"/>
          <w:szCs w:val="24"/>
          <w:shd w:val="clear" w:color="auto" w:fill="FFFFFF"/>
        </w:rPr>
        <w:t>prestazioni di</w:t>
      </w:r>
      <w:r>
        <w:rPr>
          <w:rStyle w:val="5"/>
          <w:rFonts w:hint="default" w:eastAsia="sans-serif" w:cs="Times New Roman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 xml:space="preserve"> </w:t>
      </w:r>
      <w:r>
        <w:rPr>
          <w:rStyle w:val="5"/>
          <w:rFonts w:hint="default" w:ascii="Times New Roman" w:hAnsi="Times New Roman" w:eastAsia="sans-serif" w:cs="Times New Roman"/>
          <w:caps w:val="0"/>
          <w:color w:val="000000"/>
          <w:spacing w:val="0"/>
          <w:sz w:val="24"/>
          <w:szCs w:val="24"/>
          <w:shd w:val="clear" w:color="auto" w:fill="FFFFFF"/>
        </w:rPr>
        <w:t>servizi effettuate in corrispettivo di altre cessioni di beni o prestazioni di servizi</w:t>
      </w:r>
      <w:r>
        <w:rPr>
          <w:rStyle w:val="5"/>
          <w:rFonts w:hint="default" w:eastAsia="sans-serif" w:cs="Times New Roman"/>
          <w:caps w:val="0"/>
          <w:color w:val="000000"/>
          <w:spacing w:val="0"/>
          <w:sz w:val="24"/>
          <w:szCs w:val="24"/>
          <w:shd w:val="clear" w:color="auto" w:fill="FFFFFF"/>
          <w:lang w:val="it-IT"/>
        </w:rPr>
        <w:t>;</w:t>
      </w:r>
    </w:p>
    <w:p>
      <w:pPr>
        <w:pStyle w:val="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</w:pPr>
    </w:p>
    <w:p>
      <w:pPr>
        <w:pStyle w:val="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</w:pPr>
    </w:p>
    <w:p>
      <w:pPr>
        <w:pStyle w:val="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</w:pPr>
    </w:p>
    <w:p>
      <w:pPr>
        <w:pStyle w:val="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Con la presente iniziativa consiliare,</w:t>
      </w:r>
      <w:bookmarkEnd w:id="16"/>
      <w:bookmarkEnd w:id="17"/>
    </w:p>
    <w:p>
      <w:pPr>
        <w:pStyle w:val="18"/>
        <w:keepNext w:val="0"/>
        <w:keepLines w:val="0"/>
        <w:widowControl w:val="0"/>
        <w:shd w:val="clear" w:color="auto" w:fill="auto"/>
        <w:tabs>
          <w:tab w:val="left" w:pos="8466"/>
        </w:tabs>
        <w:bidi w:val="0"/>
        <w:spacing w:before="0" w:after="0" w:line="240" w:lineRule="auto"/>
        <w:ind w:left="7180" w:right="0" w:firstLine="0"/>
        <w:jc w:val="left"/>
        <w:rPr>
          <w:sz w:val="20"/>
          <w:szCs w:val="20"/>
        </w:r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440" w:line="307" w:lineRule="auto"/>
        <w:ind w:left="0" w:right="0" w:firstLine="0"/>
        <w:jc w:val="center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si interpella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tr-TR" w:eastAsia="tr-TR" w:bidi="tr-TR"/>
        </w:rPr>
        <w:t xml:space="preserve">il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Sindaco</w:t>
      </w:r>
      <w:r>
        <w:rPr>
          <w:rFonts w:hint="default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 xml:space="preserve"> gli uffici competenti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 e l’intera Giunta affinche’ riferiscano tramite </w:t>
      </w:r>
      <w:r>
        <w:rPr>
          <w:rFonts w:hint="default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 xml:space="preserve">risposta scritta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in modo preciso e puntuale sugli interventi in programma. Ovvero come, in che tempi ed entro quando, si potranno apprezzare azioni precise e mirate al</w:t>
      </w:r>
      <w:r>
        <w:rPr>
          <w:rFonts w:hint="default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>l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a troppo attesa</w:t>
      </w:r>
      <w:r>
        <w:rPr>
          <w:rFonts w:hint="default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 xml:space="preserve"> realizzazione e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 rigenerazione delle strutture </w:t>
      </w:r>
      <w:r>
        <w:rPr>
          <w:rFonts w:hint="default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 xml:space="preserve">di arredo urbano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e se hanno chiesto i fondi </w:t>
      </w:r>
      <w:r>
        <w:rPr>
          <w:rFonts w:hint="default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 xml:space="preserve"> secondo i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previsti </w:t>
      </w:r>
      <w:r>
        <w:rPr>
          <w:rFonts w:hint="default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 xml:space="preserve"> meccanismi 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menzionati nella presente </w:t>
      </w:r>
      <w:r>
        <w:rPr>
          <w:rFonts w:hint="default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>interrogazione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>.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56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</w:pPr>
      <w:r>
        <mc:AlternateContent>
          <mc:Choice Requires="wps">
            <w:drawing>
              <wp:anchor distT="0" distB="15240" distL="114300" distR="1979295" simplePos="0" relativeHeight="251659264" behindDoc="0" locked="0" layoutInCell="1" allowOverlap="1">
                <wp:simplePos x="0" y="0"/>
                <wp:positionH relativeFrom="page">
                  <wp:posOffset>577850</wp:posOffset>
                </wp:positionH>
                <wp:positionV relativeFrom="paragraph">
                  <wp:posOffset>850900</wp:posOffset>
                </wp:positionV>
                <wp:extent cx="448310" cy="170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type="#_x0000_t202" style="position:absolute;left:0pt;margin-left:45.5pt;margin-top:67pt;height:13.45pt;width:35.3pt;mso-position-horizontal-relative:page;mso-wrap-distance-bottom:1.2pt;mso-wrap-distance-top:0pt;mso-wrap-style:none;z-index:251659264;mso-width-relative:page;mso-height-relative:page;" filled="f" stroked="f" coordsize="21600,21600" o:gfxdata="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DJSC11QAAAAoB&#10;AAAPAAAAAAAAAAEAIAAAACIAAABkcnMvZG93bnJldi54bWxQSwECFAAUAAAACACHTuJA2/V3IqwB&#10;AABvAwAADgAAAAAAAAABACAAAAAk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La presente </w:t>
      </w:r>
      <w:r>
        <w:rPr>
          <w:rFonts w:hint="default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>interrogazione 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 composta da nr.0</w:t>
      </w:r>
      <w:r>
        <w:rPr>
          <w:rFonts w:hint="default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>4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  <w:t xml:space="preserve"> pagine;</w:t>
      </w:r>
    </w:p>
    <w:p>
      <w:pPr>
        <w:pStyle w:val="1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0"/>
        <w:jc w:val="righ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</w:pPr>
      <w:r>
        <w:rPr>
          <w:rFonts w:hint="default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>Il Consigliere Comunale Dr Lamberto Ramazzotti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560"/>
        <w:jc w:val="left"/>
        <w:rPr>
          <w:rFonts w:hint="default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560"/>
        <w:jc w:val="left"/>
        <w:rPr>
          <w:rFonts w:hint="default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</w:pPr>
      <w:r>
        <w:rPr>
          <w:rFonts w:hint="default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  <w:t>FIRME ULTERIORI SOTTOSCRITTORI</w:t>
      </w: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560"/>
        <w:jc w:val="left"/>
        <w:rPr>
          <w:rFonts w:hint="default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it-IT" w:eastAsia="en-US" w:bidi="en-US"/>
        </w:rPr>
      </w:pPr>
    </w:p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1060" w:line="240" w:lineRule="auto"/>
        <w:ind w:left="0" w:right="0" w:firstLine="560"/>
        <w:jc w:val="left"/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auto"/>
          <w:lang w:val="en-US" w:eastAsia="en-US" w:bidi="en-US"/>
        </w:rPr>
      </w:pPr>
    </w:p>
    <w:sectPr>
      <w:footnotePr>
        <w:numFmt w:val="decimal"/>
      </w:footnotePr>
      <w:pgSz w:w="11900" w:h="16840"/>
      <w:pgMar w:top="1424" w:right="704" w:bottom="1872" w:left="872" w:header="996" w:footer="1444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0B6D0DB8"/>
    <w:rsid w:val="10113B7A"/>
    <w:rsid w:val="18FD1C9D"/>
    <w:rsid w:val="470A2052"/>
    <w:rsid w:val="7583782D"/>
    <w:rsid w:val="7D395B54"/>
    <w:rsid w:val="7EE94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2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it-IT" w:eastAsia="it-IT" w:bidi="it-IT"/>
    </w:rPr>
  </w:style>
  <w:style w:type="character" w:styleId="5">
    <w:name w:val="Emphasis"/>
    <w:basedOn w:val="2"/>
    <w:qFormat/>
    <w:uiPriority w:val="0"/>
    <w:rPr>
      <w:i/>
      <w:iCs/>
    </w:rPr>
  </w:style>
  <w:style w:type="paragraph" w:styleId="6">
    <w:name w:val="Normal (Web)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7">
    <w:name w:val="Body text|3_"/>
    <w:basedOn w:val="2"/>
    <w:link w:val="8"/>
    <w:qFormat/>
    <w:uiPriority w:val="0"/>
    <w:rPr>
      <w:sz w:val="20"/>
      <w:szCs w:val="20"/>
      <w:u w:val="none"/>
    </w:rPr>
  </w:style>
  <w:style w:type="paragraph" w:customStyle="1" w:styleId="8">
    <w:name w:val="Body text|3"/>
    <w:basedOn w:val="1"/>
    <w:link w:val="7"/>
    <w:qFormat/>
    <w:uiPriority w:val="0"/>
    <w:pPr>
      <w:widowControl w:val="0"/>
      <w:shd w:val="clear" w:color="auto" w:fill="FFFFFF"/>
    </w:pPr>
    <w:rPr>
      <w:sz w:val="20"/>
      <w:szCs w:val="20"/>
      <w:u w:val="none"/>
    </w:rPr>
  </w:style>
  <w:style w:type="character" w:customStyle="1" w:styleId="9">
    <w:name w:val="Body text|1_"/>
    <w:basedOn w:val="2"/>
    <w:link w:val="10"/>
    <w:uiPriority w:val="0"/>
    <w:rPr>
      <w:u w:val="none"/>
    </w:rPr>
  </w:style>
  <w:style w:type="paragraph" w:customStyle="1" w:styleId="10">
    <w:name w:val="Body text|1"/>
    <w:basedOn w:val="1"/>
    <w:link w:val="9"/>
    <w:qFormat/>
    <w:uiPriority w:val="0"/>
    <w:pPr>
      <w:widowControl w:val="0"/>
      <w:shd w:val="clear" w:color="auto" w:fill="FFFFFF"/>
      <w:spacing w:after="280"/>
    </w:pPr>
    <w:rPr>
      <w:u w:val="none"/>
    </w:rPr>
  </w:style>
  <w:style w:type="character" w:customStyle="1" w:styleId="11">
    <w:name w:val="Heading #2|1_"/>
    <w:basedOn w:val="2"/>
    <w:link w:val="12"/>
    <w:uiPriority w:val="0"/>
    <w:rPr>
      <w:b/>
      <w:bCs/>
      <w:sz w:val="22"/>
      <w:szCs w:val="22"/>
      <w:u w:val="none"/>
    </w:rPr>
  </w:style>
  <w:style w:type="paragraph" w:customStyle="1" w:styleId="12">
    <w:name w:val="Heading #2|1"/>
    <w:basedOn w:val="1"/>
    <w:link w:val="11"/>
    <w:qFormat/>
    <w:uiPriority w:val="0"/>
    <w:pPr>
      <w:widowControl w:val="0"/>
      <w:shd w:val="clear" w:color="auto" w:fill="FFFFFF"/>
      <w:spacing w:after="270" w:line="259" w:lineRule="auto"/>
      <w:outlineLvl w:val="1"/>
    </w:pPr>
    <w:rPr>
      <w:b/>
      <w:bCs/>
      <w:sz w:val="22"/>
      <w:szCs w:val="22"/>
      <w:u w:val="none"/>
    </w:rPr>
  </w:style>
  <w:style w:type="character" w:customStyle="1" w:styleId="13">
    <w:name w:val="Body text|2_"/>
    <w:basedOn w:val="2"/>
    <w:link w:val="14"/>
    <w:qFormat/>
    <w:uiPriority w:val="0"/>
    <w:rPr>
      <w:i/>
      <w:iCs/>
      <w:sz w:val="26"/>
      <w:szCs w:val="26"/>
      <w:u w:val="none"/>
    </w:rPr>
  </w:style>
  <w:style w:type="paragraph" w:customStyle="1" w:styleId="14">
    <w:name w:val="Body text|2"/>
    <w:basedOn w:val="1"/>
    <w:link w:val="13"/>
    <w:qFormat/>
    <w:uiPriority w:val="0"/>
    <w:pPr>
      <w:widowControl w:val="0"/>
      <w:shd w:val="clear" w:color="auto" w:fill="FFFFFF"/>
      <w:spacing w:after="680"/>
      <w:ind w:firstLine="420"/>
    </w:pPr>
    <w:rPr>
      <w:i/>
      <w:iCs/>
      <w:sz w:val="26"/>
      <w:szCs w:val="26"/>
      <w:u w:val="none"/>
    </w:rPr>
  </w:style>
  <w:style w:type="character" w:customStyle="1" w:styleId="15">
    <w:name w:val="Heading #1|1_"/>
    <w:basedOn w:val="2"/>
    <w:link w:val="16"/>
    <w:uiPriority w:val="0"/>
    <w:rPr>
      <w:b/>
      <w:bCs/>
      <w:sz w:val="28"/>
      <w:szCs w:val="28"/>
      <w:u w:val="single"/>
    </w:rPr>
  </w:style>
  <w:style w:type="paragraph" w:customStyle="1" w:styleId="16">
    <w:name w:val="Heading #1|1"/>
    <w:basedOn w:val="1"/>
    <w:link w:val="15"/>
    <w:qFormat/>
    <w:uiPriority w:val="0"/>
    <w:pPr>
      <w:widowControl w:val="0"/>
      <w:shd w:val="clear" w:color="auto" w:fill="FFFFFF"/>
      <w:spacing w:after="360"/>
      <w:jc w:val="center"/>
      <w:outlineLvl w:val="0"/>
    </w:pPr>
    <w:rPr>
      <w:b/>
      <w:bCs/>
      <w:sz w:val="28"/>
      <w:szCs w:val="28"/>
      <w:u w:val="single"/>
    </w:rPr>
  </w:style>
  <w:style w:type="character" w:customStyle="1" w:styleId="17">
    <w:name w:val="Body text|4_"/>
    <w:basedOn w:val="2"/>
    <w:link w:val="18"/>
    <w:qFormat/>
    <w:uiPriority w:val="0"/>
    <w:rPr>
      <w:rFonts w:ascii="Arial" w:hAnsi="Arial" w:eastAsia="Arial" w:cs="Arial"/>
      <w:i/>
      <w:iCs/>
      <w:sz w:val="19"/>
      <w:szCs w:val="19"/>
      <w:u w:val="none"/>
    </w:rPr>
  </w:style>
  <w:style w:type="paragraph" w:customStyle="1" w:styleId="18">
    <w:name w:val="Body text|4"/>
    <w:basedOn w:val="1"/>
    <w:link w:val="17"/>
    <w:qFormat/>
    <w:uiPriority w:val="0"/>
    <w:pPr>
      <w:widowControl w:val="0"/>
      <w:shd w:val="clear" w:color="auto" w:fill="FFFFFF"/>
      <w:spacing w:after="140" w:line="252" w:lineRule="auto"/>
      <w:ind w:left="3590" w:firstLine="390"/>
    </w:pPr>
    <w:rPr>
      <w:rFonts w:ascii="Arial" w:hAnsi="Arial" w:eastAsia="Arial" w:cs="Arial"/>
      <w:i/>
      <w:iCs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999</Words>
  <Characters>5701</Characters>
  <TotalTime>2</TotalTime>
  <ScaleCrop>false</ScaleCrop>
  <LinksUpToDate>false</LinksUpToDate>
  <CharactersWithSpaces>6730</CharactersWithSpaces>
  <Application>WPS Office_11.2.0.11341_F1E327BC-269C-435d-A152-05C5408002CA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2022-10-30T11:08:00Z</dcterms:created>
  <dc:creator>Utente</dc:creator>
  <cp:lastModifiedBy>google1577110892</cp:lastModifiedBy>
  <dcterms:modified xsi:type="dcterms:W3CDTF">2022-12-06T11:35:36Z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9EF4245C3947465BA170E784AE894542</vt:lpwstr>
  </property>
</Properties>
</file>